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87" w:rsidRDefault="007D1687" w:rsidP="007D1687">
      <w:pPr>
        <w:spacing w:line="440" w:lineRule="exact"/>
        <w:ind w:firstLine="48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附：</w:t>
      </w:r>
    </w:p>
    <w:p w:rsidR="007D1687" w:rsidRPr="007D1687" w:rsidRDefault="007D1687" w:rsidP="007D1687">
      <w:pPr>
        <w:spacing w:line="440" w:lineRule="exact"/>
        <w:ind w:firstLine="480"/>
        <w:jc w:val="center"/>
        <w:rPr>
          <w:rFonts w:ascii="宋体" w:eastAsia="宋体" w:hAnsi="宋体" w:cs="Times New Roman"/>
          <w:sz w:val="28"/>
          <w:szCs w:val="28"/>
        </w:rPr>
      </w:pPr>
      <w:r w:rsidRPr="007D1687">
        <w:rPr>
          <w:rFonts w:ascii="宋体" w:eastAsia="宋体" w:hAnsi="宋体" w:cs="Times New Roman" w:hint="eastAsia"/>
          <w:sz w:val="28"/>
          <w:szCs w:val="28"/>
        </w:rPr>
        <w:t>《中财法律评论》注释体例（第十一卷）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</w:p>
    <w:p w:rsidR="007D1687" w:rsidRPr="007D1687" w:rsidRDefault="007D1687" w:rsidP="007D1687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注释是对论文中某一特定内容的进一步解释或必要补充说明，注释一律采用脚注，不用尾注；当论文正文某处需要予以注释时，采用圆圈内加阿拉伯数字并书写在相应文字的右上角，以示需要予以注释，注释一律标注在标点符号之后，如：“…列维纳斯甚至相信第一哲学只能是伦理学。”</w:t>
      </w:r>
      <w:r w:rsidRPr="007D1687">
        <w:rPr>
          <w:rFonts w:ascii="宋体" w:eastAsia="宋体" w:hAnsi="宋体" w:cs="Times New Roman" w:hint="eastAsia"/>
          <w:sz w:val="24"/>
          <w:szCs w:val="24"/>
          <w:vertAlign w:val="superscript"/>
        </w:rPr>
        <w:t>①</w:t>
      </w:r>
      <w:r w:rsidRPr="007D1687">
        <w:rPr>
          <w:rFonts w:ascii="宋体" w:eastAsia="宋体" w:hAnsi="宋体" w:cs="Times New Roman" w:hint="eastAsia"/>
          <w:sz w:val="24"/>
          <w:szCs w:val="24"/>
        </w:rPr>
        <w:t>注释内容书写在标明有对应注释的正文的同一页下端（正文与页码之间），</w:t>
      </w:r>
      <w:r w:rsidRPr="007D1687">
        <w:rPr>
          <w:rFonts w:ascii="宋体" w:eastAsia="宋体" w:hAnsi="宋体" w:cs="Times New Roman" w:hint="eastAsia"/>
          <w:b/>
          <w:sz w:val="24"/>
          <w:szCs w:val="24"/>
        </w:rPr>
        <w:t>注释要每页重新编号</w:t>
      </w:r>
      <w:r w:rsidRPr="007D1687">
        <w:rPr>
          <w:rFonts w:ascii="宋体" w:eastAsia="宋体" w:hAnsi="宋体" w:cs="Times New Roman" w:hint="eastAsia"/>
          <w:sz w:val="24"/>
          <w:szCs w:val="24"/>
        </w:rPr>
        <w:t>。注释为</w:t>
      </w:r>
      <w:r w:rsidRPr="007D1687">
        <w:rPr>
          <w:rFonts w:ascii="宋体" w:eastAsia="宋体" w:hAnsi="宋体" w:cs="Times New Roman" w:hint="eastAsia"/>
          <w:b/>
          <w:sz w:val="24"/>
          <w:szCs w:val="24"/>
        </w:rPr>
        <w:t>宋体五号字</w:t>
      </w:r>
      <w:r w:rsidRPr="007D1687">
        <w:rPr>
          <w:rFonts w:ascii="宋体" w:eastAsia="宋体" w:hAnsi="宋体" w:cs="Times New Roman" w:hint="eastAsia"/>
          <w:sz w:val="24"/>
          <w:szCs w:val="24"/>
        </w:rPr>
        <w:t>。标</w:t>
      </w:r>
      <w:proofErr w:type="gramStart"/>
      <w:r w:rsidRPr="007D1687">
        <w:rPr>
          <w:rFonts w:ascii="宋体" w:eastAsia="宋体" w:hAnsi="宋体" w:cs="Times New Roman" w:hint="eastAsia"/>
          <w:sz w:val="24"/>
          <w:szCs w:val="24"/>
        </w:rPr>
        <w:t>清具体</w:t>
      </w:r>
      <w:proofErr w:type="gramEnd"/>
      <w:r w:rsidRPr="007D1687">
        <w:rPr>
          <w:rFonts w:ascii="宋体" w:eastAsia="宋体" w:hAnsi="宋体" w:cs="Times New Roman" w:hint="eastAsia"/>
          <w:sz w:val="24"/>
          <w:szCs w:val="24"/>
        </w:rPr>
        <w:t>页码，如引用页数为两页以上，中间以“-”隔开，如：“第55-58页”。</w:t>
      </w:r>
    </w:p>
    <w:p w:rsidR="007D1687" w:rsidRPr="007D1687" w:rsidRDefault="007D1687" w:rsidP="007D1687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脚注序号后空一格，书写脚注内容，如：“① 龚柏华：《中国与WTO争端解决：2011年回顾与2012年展望》，《世界贸易组织动态与研究》2012年第2期，第5-13页。”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b/>
          <w:sz w:val="24"/>
          <w:szCs w:val="24"/>
        </w:rPr>
      </w:pPr>
      <w:r w:rsidRPr="007D1687">
        <w:rPr>
          <w:rFonts w:ascii="宋体" w:eastAsia="宋体" w:hAnsi="宋体" w:cs="Times New Roman" w:hint="eastAsia"/>
          <w:b/>
          <w:sz w:val="24"/>
          <w:szCs w:val="24"/>
        </w:rPr>
        <w:t>（一）著作类</w:t>
      </w:r>
    </w:p>
    <w:p w:rsidR="007D1687" w:rsidRPr="007D1687" w:rsidRDefault="007D1687" w:rsidP="007D1687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一般格式：作者、书名、卷次、出版社名、版次、引用部分页码；作者为三人或三人以上的作品，首次引用时应显示全部作者，重复出现时可在第一作者之后加“等”字样。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1.专著：</w:t>
      </w:r>
      <w:proofErr w:type="gramStart"/>
      <w:r w:rsidRPr="007D1687">
        <w:rPr>
          <w:rFonts w:ascii="宋体" w:eastAsia="宋体" w:hAnsi="宋体" w:cs="Times New Roman" w:hint="eastAsia"/>
          <w:sz w:val="24"/>
          <w:szCs w:val="24"/>
        </w:rPr>
        <w:t>龙卫球著</w:t>
      </w:r>
      <w:proofErr w:type="gramEnd"/>
      <w:r w:rsidRPr="007D1687">
        <w:rPr>
          <w:rFonts w:ascii="宋体" w:eastAsia="宋体" w:hAnsi="宋体" w:cs="Times New Roman" w:hint="eastAsia"/>
          <w:sz w:val="24"/>
          <w:szCs w:val="24"/>
        </w:rPr>
        <w:t>：《民法总论》，中国法制出版社2002年第2版，第25页。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2.编著：最高人民法院刑事审判第一庭编著：《最高人民法院拐卖妇女儿童犯罪典型案例评析及法律法规精选》，中国法制出版社2010年版，第261页。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3. 教材：</w:t>
      </w:r>
      <w:proofErr w:type="gramStart"/>
      <w:r w:rsidRPr="007D1687">
        <w:rPr>
          <w:rFonts w:ascii="宋体" w:eastAsia="宋体" w:hAnsi="宋体" w:cs="Times New Roman" w:hint="eastAsia"/>
          <w:sz w:val="24"/>
          <w:szCs w:val="24"/>
        </w:rPr>
        <w:t>梅传强</w:t>
      </w:r>
      <w:proofErr w:type="gramEnd"/>
      <w:r w:rsidRPr="007D1687">
        <w:rPr>
          <w:rFonts w:ascii="宋体" w:eastAsia="宋体" w:hAnsi="宋体" w:cs="Times New Roman" w:hint="eastAsia"/>
          <w:sz w:val="24"/>
          <w:szCs w:val="24"/>
        </w:rPr>
        <w:t>主编：《犯罪心理学》，中国法制出版社2007年版，第8页。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4. 译作：[英] 迈克尔·赞德著：《英国法：议会立法、法条解释、先例原则及法律改革》，江辉译，中国法制出版社2014年版，第5页。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b/>
          <w:sz w:val="24"/>
          <w:szCs w:val="24"/>
        </w:rPr>
      </w:pPr>
      <w:r w:rsidRPr="007D1687">
        <w:rPr>
          <w:rFonts w:ascii="宋体" w:eastAsia="宋体" w:hAnsi="宋体" w:cs="Times New Roman" w:hint="eastAsia"/>
          <w:b/>
          <w:sz w:val="24"/>
          <w:szCs w:val="24"/>
        </w:rPr>
        <w:t>（二）论文类</w:t>
      </w:r>
    </w:p>
    <w:p w:rsidR="007D1687" w:rsidRPr="007D1687" w:rsidRDefault="007D1687" w:rsidP="007D1687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一般格式：作者、文章标题、</w:t>
      </w:r>
      <w:proofErr w:type="gramStart"/>
      <w:r w:rsidRPr="007D1687">
        <w:rPr>
          <w:rFonts w:ascii="宋体" w:eastAsia="宋体" w:hAnsi="宋体" w:cs="Times New Roman" w:hint="eastAsia"/>
          <w:sz w:val="24"/>
          <w:szCs w:val="24"/>
        </w:rPr>
        <w:t>载何出版物</w:t>
      </w:r>
      <w:proofErr w:type="gramEnd"/>
      <w:r w:rsidRPr="007D1687">
        <w:rPr>
          <w:rFonts w:ascii="宋体" w:eastAsia="宋体" w:hAnsi="宋体" w:cs="Times New Roman" w:hint="eastAsia"/>
          <w:sz w:val="24"/>
          <w:szCs w:val="24"/>
        </w:rPr>
        <w:t>、出版时间（出版刊数）、所引用的页码。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1.期刊文章：顾培东：《效益：当代法律的一个基本价值目标——兼评西方法律经济学》,载《中国法学》1992年第3期，第30页。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2.著作中的文章（析出文献）：顾功耘：《关于商法基础理论的几个问题》，</w:t>
      </w:r>
      <w:r w:rsidRPr="007D1687">
        <w:rPr>
          <w:rFonts w:ascii="宋体" w:eastAsia="宋体" w:hAnsi="宋体" w:cs="Times New Roman" w:hint="eastAsia"/>
          <w:sz w:val="24"/>
          <w:szCs w:val="24"/>
        </w:rPr>
        <w:lastRenderedPageBreak/>
        <w:t>载《商法研究》(第三辑)，</w:t>
      </w:r>
      <w:proofErr w:type="gramStart"/>
      <w:r w:rsidRPr="007D1687">
        <w:rPr>
          <w:rFonts w:ascii="宋体" w:eastAsia="宋体" w:hAnsi="宋体" w:cs="Times New Roman" w:hint="eastAsia"/>
          <w:sz w:val="24"/>
          <w:szCs w:val="24"/>
        </w:rPr>
        <w:t>徐学鹿主编</w:t>
      </w:r>
      <w:proofErr w:type="gramEnd"/>
      <w:r w:rsidRPr="007D1687">
        <w:rPr>
          <w:rFonts w:ascii="宋体" w:eastAsia="宋体" w:hAnsi="宋体" w:cs="Times New Roman" w:hint="eastAsia"/>
          <w:sz w:val="24"/>
          <w:szCs w:val="24"/>
        </w:rPr>
        <w:t>，人民法院出版社2001年版，第23页。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3.报纸文章：乔晓阳：《规范证券市场，强化监督机构》，载《人民日报》1998年10月28日，第5版。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4. 学位论文：姓名：《论文名称》，学校年份论文性质。如，</w:t>
      </w:r>
      <w:proofErr w:type="gramStart"/>
      <w:r w:rsidRPr="007D1687">
        <w:rPr>
          <w:rFonts w:ascii="宋体" w:eastAsia="宋体" w:hAnsi="宋体" w:cs="Times New Roman" w:hint="eastAsia"/>
          <w:sz w:val="24"/>
          <w:szCs w:val="24"/>
        </w:rPr>
        <w:t>夏引业</w:t>
      </w:r>
      <w:proofErr w:type="gramEnd"/>
      <w:r w:rsidRPr="007D1687">
        <w:rPr>
          <w:rFonts w:ascii="宋体" w:eastAsia="宋体" w:hAnsi="宋体" w:cs="Times New Roman" w:hint="eastAsia"/>
          <w:sz w:val="24"/>
          <w:szCs w:val="24"/>
        </w:rPr>
        <w:t>：《法教义学研究》，中国政法大学2013年博士论文。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b/>
          <w:sz w:val="24"/>
          <w:szCs w:val="24"/>
        </w:rPr>
      </w:pPr>
      <w:r w:rsidRPr="007D1687">
        <w:rPr>
          <w:rFonts w:ascii="宋体" w:eastAsia="宋体" w:hAnsi="宋体" w:cs="Times New Roman" w:hint="eastAsia"/>
          <w:b/>
          <w:sz w:val="24"/>
          <w:szCs w:val="24"/>
        </w:rPr>
        <w:t>（三）外文类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1. 引用著作，书名需为斜体。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 xml:space="preserve">F. H. </w:t>
      </w:r>
      <w:proofErr w:type="spellStart"/>
      <w:r w:rsidRPr="007D1687">
        <w:rPr>
          <w:rFonts w:ascii="宋体" w:eastAsia="宋体" w:hAnsi="宋体" w:cs="Times New Roman" w:hint="eastAsia"/>
          <w:sz w:val="24"/>
          <w:szCs w:val="24"/>
        </w:rPr>
        <w:t>Lawwon</w:t>
      </w:r>
      <w:proofErr w:type="spellEnd"/>
      <w:r w:rsidRPr="007D1687">
        <w:rPr>
          <w:rFonts w:ascii="宋体" w:eastAsia="宋体" w:hAnsi="宋体" w:cs="Times New Roman" w:hint="eastAsia"/>
          <w:sz w:val="24"/>
          <w:szCs w:val="24"/>
        </w:rPr>
        <w:t xml:space="preserve"> &amp; B. S. </w:t>
      </w:r>
      <w:proofErr w:type="spellStart"/>
      <w:r w:rsidRPr="007D1687">
        <w:rPr>
          <w:rFonts w:ascii="宋体" w:eastAsia="宋体" w:hAnsi="宋体" w:cs="Times New Roman" w:hint="eastAsia"/>
          <w:sz w:val="24"/>
          <w:szCs w:val="24"/>
        </w:rPr>
        <w:t>Markesinis</w:t>
      </w:r>
      <w:proofErr w:type="spellEnd"/>
      <w:r w:rsidRPr="007D1687">
        <w:rPr>
          <w:rFonts w:ascii="宋体" w:eastAsia="宋体" w:hAnsi="宋体" w:cs="Times New Roman" w:hint="eastAsia"/>
          <w:sz w:val="24"/>
          <w:szCs w:val="24"/>
        </w:rPr>
        <w:t xml:space="preserve">, </w:t>
      </w:r>
      <w:r w:rsidRPr="007D1687">
        <w:rPr>
          <w:rFonts w:ascii="宋体" w:eastAsia="宋体" w:hAnsi="宋体" w:cs="Times New Roman" w:hint="eastAsia"/>
          <w:i/>
          <w:sz w:val="24"/>
          <w:szCs w:val="24"/>
        </w:rPr>
        <w:t>Tortious Liability for Unintentional Harm in Common Law and the Civil Law</w:t>
      </w:r>
      <w:r w:rsidRPr="007D1687">
        <w:rPr>
          <w:rFonts w:ascii="宋体" w:eastAsia="宋体" w:hAnsi="宋体" w:cs="Times New Roman" w:hint="eastAsia"/>
          <w:sz w:val="24"/>
          <w:szCs w:val="24"/>
        </w:rPr>
        <w:t>, Vol.Ⅰ, Cambridge: Cambridge University Press, 1982, p.106.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2. 引用论文，期刊名称需要斜体。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Richard Wright,“Causation in Tort Law”, 73</w:t>
      </w:r>
      <w:r w:rsidRPr="007D1687">
        <w:rPr>
          <w:rFonts w:ascii="宋体" w:eastAsia="宋体" w:hAnsi="宋体" w:cs="Times New Roman" w:hint="eastAsia"/>
          <w:i/>
          <w:sz w:val="24"/>
          <w:szCs w:val="24"/>
        </w:rPr>
        <w:t xml:space="preserve"> Calif. L. Rev.</w:t>
      </w:r>
      <w:r w:rsidRPr="007D1687">
        <w:rPr>
          <w:rFonts w:ascii="宋体" w:eastAsia="宋体" w:hAnsi="宋体" w:cs="Times New Roman" w:hint="eastAsia"/>
          <w:sz w:val="24"/>
          <w:szCs w:val="24"/>
        </w:rPr>
        <w:t xml:space="preserve"> 1735 (1985).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Claus D. Zimmermann</w:t>
      </w:r>
      <w:proofErr w:type="gramStart"/>
      <w:r w:rsidRPr="007D1687">
        <w:rPr>
          <w:rFonts w:ascii="宋体" w:eastAsia="宋体" w:hAnsi="宋体" w:cs="Times New Roman"/>
          <w:sz w:val="24"/>
          <w:szCs w:val="24"/>
        </w:rPr>
        <w:t>,</w:t>
      </w:r>
      <w:r w:rsidRPr="007D1687">
        <w:rPr>
          <w:rFonts w:ascii="宋体" w:eastAsia="宋体" w:hAnsi="宋体" w:cs="Times New Roman" w:hint="eastAsia"/>
          <w:sz w:val="24"/>
          <w:szCs w:val="24"/>
        </w:rPr>
        <w:t>“</w:t>
      </w:r>
      <w:proofErr w:type="gramEnd"/>
      <w:r w:rsidRPr="007D1687">
        <w:rPr>
          <w:rFonts w:ascii="宋体" w:eastAsia="宋体" w:hAnsi="宋体" w:cs="Times New Roman" w:hint="eastAsia"/>
          <w:sz w:val="24"/>
          <w:szCs w:val="24"/>
        </w:rPr>
        <w:t>Exchange Rate Misalignment and International Law”, 3 the</w:t>
      </w:r>
      <w:r w:rsidRPr="007D1687">
        <w:rPr>
          <w:rFonts w:ascii="宋体" w:eastAsia="宋体" w:hAnsi="宋体" w:cs="Times New Roman" w:hint="eastAsia"/>
          <w:i/>
          <w:sz w:val="24"/>
          <w:szCs w:val="24"/>
        </w:rPr>
        <w:t xml:space="preserve"> American Journal of International Law</w:t>
      </w:r>
      <w:r w:rsidRPr="007D1687">
        <w:rPr>
          <w:rFonts w:ascii="宋体" w:eastAsia="宋体" w:hAnsi="宋体" w:cs="Times New Roman" w:hint="eastAsia"/>
          <w:sz w:val="24"/>
          <w:szCs w:val="24"/>
        </w:rPr>
        <w:t>, 423-476 (2011).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3. 引用案例：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proofErr w:type="spellStart"/>
      <w:proofErr w:type="gramStart"/>
      <w:r w:rsidRPr="007D1687">
        <w:rPr>
          <w:rFonts w:ascii="宋体" w:eastAsia="宋体" w:hAnsi="宋体" w:cs="Times New Roman" w:hint="eastAsia"/>
          <w:sz w:val="24"/>
          <w:szCs w:val="24"/>
        </w:rPr>
        <w:t>Guilligan</w:t>
      </w:r>
      <w:proofErr w:type="spellEnd"/>
      <w:r w:rsidRPr="007D1687">
        <w:rPr>
          <w:rFonts w:ascii="宋体" w:eastAsia="宋体" w:hAnsi="宋体" w:cs="Times New Roman" w:hint="eastAsia"/>
          <w:sz w:val="24"/>
          <w:szCs w:val="24"/>
        </w:rPr>
        <w:t xml:space="preserve"> v. Morgan，413 U.S.Ⅰ，10-11（1973）.</w:t>
      </w:r>
      <w:proofErr w:type="gramEnd"/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4. Supra（见上）.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5. Ibid （同一出处）.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英语之外的语种，请根据其各自习惯注释。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b/>
          <w:sz w:val="24"/>
          <w:szCs w:val="24"/>
        </w:rPr>
      </w:pPr>
      <w:r w:rsidRPr="007D1687">
        <w:rPr>
          <w:rFonts w:ascii="宋体" w:eastAsia="宋体" w:hAnsi="宋体" w:cs="Times New Roman" w:hint="eastAsia"/>
          <w:b/>
          <w:sz w:val="24"/>
          <w:szCs w:val="24"/>
        </w:rPr>
        <w:t>（四）网络类</w:t>
      </w:r>
    </w:p>
    <w:p w:rsidR="007D1687" w:rsidRPr="007D1687" w:rsidRDefault="007D1687" w:rsidP="007D1687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一般格式：作者、文章标题、网址、最后访问时间。</w:t>
      </w:r>
    </w:p>
    <w:p w:rsidR="007D1687" w:rsidRPr="007D1687" w:rsidRDefault="007D1687" w:rsidP="007D1687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例如：扬之水：“两宋茶诗与茶事”，http：//www.literature.org.cn /</w:t>
      </w:r>
      <w:proofErr w:type="spellStart"/>
      <w:r w:rsidRPr="007D1687">
        <w:rPr>
          <w:rFonts w:ascii="宋体" w:eastAsia="宋体" w:hAnsi="宋体" w:cs="Times New Roman" w:hint="eastAsia"/>
          <w:sz w:val="24"/>
          <w:szCs w:val="24"/>
        </w:rPr>
        <w:t>Article.asp</w:t>
      </w:r>
      <w:proofErr w:type="gramStart"/>
      <w:r w:rsidRPr="007D1687">
        <w:rPr>
          <w:rFonts w:ascii="宋体" w:eastAsia="宋体" w:hAnsi="宋体" w:cs="Times New Roman" w:hint="eastAsia"/>
          <w:sz w:val="24"/>
          <w:szCs w:val="24"/>
        </w:rPr>
        <w:t>?ID</w:t>
      </w:r>
      <w:proofErr w:type="spellEnd"/>
      <w:proofErr w:type="gramEnd"/>
      <w:r w:rsidRPr="007D1687">
        <w:rPr>
          <w:rFonts w:ascii="宋体" w:eastAsia="宋体" w:hAnsi="宋体" w:cs="Times New Roman" w:hint="eastAsia"/>
          <w:sz w:val="24"/>
          <w:szCs w:val="24"/>
        </w:rPr>
        <w:t>=199，最后访问时间2007年9月13日。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b/>
          <w:sz w:val="24"/>
          <w:szCs w:val="24"/>
        </w:rPr>
      </w:pPr>
      <w:r w:rsidRPr="007D1687">
        <w:rPr>
          <w:rFonts w:ascii="宋体" w:eastAsia="宋体" w:hAnsi="宋体" w:cs="Times New Roman" w:hint="eastAsia"/>
          <w:b/>
          <w:sz w:val="24"/>
          <w:szCs w:val="24"/>
        </w:rPr>
        <w:t>（五）其他</w:t>
      </w:r>
    </w:p>
    <w:p w:rsidR="007D1687" w:rsidRPr="007D1687" w:rsidRDefault="007D1687" w:rsidP="007D1687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1. 非引用原文者，注释前加“参见”</w:t>
      </w:r>
    </w:p>
    <w:p w:rsidR="007D1687" w:rsidRPr="007D1687" w:rsidRDefault="007D1687" w:rsidP="007D1687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2. 引用资料来自原始出处者，注明“转引自”</w:t>
      </w:r>
    </w:p>
    <w:p w:rsidR="00827963" w:rsidRPr="007D1687" w:rsidRDefault="007D1687" w:rsidP="007D1687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D1687">
        <w:rPr>
          <w:rFonts w:ascii="宋体" w:eastAsia="宋体" w:hAnsi="宋体" w:cs="Times New Roman" w:hint="eastAsia"/>
          <w:sz w:val="24"/>
          <w:szCs w:val="24"/>
        </w:rPr>
        <w:t>3. 引文出自同</w:t>
      </w:r>
      <w:bookmarkStart w:id="0" w:name="_GoBack"/>
      <w:bookmarkEnd w:id="0"/>
      <w:r w:rsidRPr="007D1687">
        <w:rPr>
          <w:rFonts w:ascii="宋体" w:eastAsia="宋体" w:hAnsi="宋体" w:cs="Times New Roman" w:hint="eastAsia"/>
          <w:sz w:val="24"/>
          <w:szCs w:val="24"/>
        </w:rPr>
        <w:t>一资料相邻数页者，注释例：第28页以下。</w:t>
      </w:r>
    </w:p>
    <w:sectPr w:rsidR="00827963" w:rsidRPr="007D168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3D" w:rsidRDefault="003E013D" w:rsidP="007D1687">
      <w:r>
        <w:separator/>
      </w:r>
    </w:p>
  </w:endnote>
  <w:endnote w:type="continuationSeparator" w:id="0">
    <w:p w:rsidR="003E013D" w:rsidRDefault="003E013D" w:rsidP="007D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3D" w:rsidRDefault="003E013D" w:rsidP="007D1687">
      <w:r>
        <w:separator/>
      </w:r>
    </w:p>
  </w:footnote>
  <w:footnote w:type="continuationSeparator" w:id="0">
    <w:p w:rsidR="003E013D" w:rsidRDefault="003E013D" w:rsidP="007D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87" w:rsidRDefault="007D1687" w:rsidP="007D16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9"/>
    <w:rsid w:val="000062CD"/>
    <w:rsid w:val="00015666"/>
    <w:rsid w:val="000647D3"/>
    <w:rsid w:val="0006674C"/>
    <w:rsid w:val="000918A9"/>
    <w:rsid w:val="00097A11"/>
    <w:rsid w:val="000A072B"/>
    <w:rsid w:val="000B24E4"/>
    <w:rsid w:val="000F7562"/>
    <w:rsid w:val="001005A0"/>
    <w:rsid w:val="00101A7F"/>
    <w:rsid w:val="001060E3"/>
    <w:rsid w:val="00117DF8"/>
    <w:rsid w:val="00123F8C"/>
    <w:rsid w:val="001324FD"/>
    <w:rsid w:val="00133B85"/>
    <w:rsid w:val="0015383F"/>
    <w:rsid w:val="001A32D6"/>
    <w:rsid w:val="001B12A6"/>
    <w:rsid w:val="001B432F"/>
    <w:rsid w:val="001F7ED2"/>
    <w:rsid w:val="00214337"/>
    <w:rsid w:val="00233F9E"/>
    <w:rsid w:val="00290E0A"/>
    <w:rsid w:val="002A6473"/>
    <w:rsid w:val="002B5AF7"/>
    <w:rsid w:val="002C3C25"/>
    <w:rsid w:val="002F28F7"/>
    <w:rsid w:val="002F7BEB"/>
    <w:rsid w:val="00313CD9"/>
    <w:rsid w:val="00327A9D"/>
    <w:rsid w:val="00342DA5"/>
    <w:rsid w:val="00381E9F"/>
    <w:rsid w:val="003C3DBA"/>
    <w:rsid w:val="003E013D"/>
    <w:rsid w:val="00414B61"/>
    <w:rsid w:val="0044166D"/>
    <w:rsid w:val="00456477"/>
    <w:rsid w:val="00485016"/>
    <w:rsid w:val="004A0E2A"/>
    <w:rsid w:val="004C68FE"/>
    <w:rsid w:val="004E109D"/>
    <w:rsid w:val="004E1FF7"/>
    <w:rsid w:val="004E3AA4"/>
    <w:rsid w:val="004F6E1D"/>
    <w:rsid w:val="005122BD"/>
    <w:rsid w:val="00517751"/>
    <w:rsid w:val="0052220E"/>
    <w:rsid w:val="0053244D"/>
    <w:rsid w:val="00541334"/>
    <w:rsid w:val="00560EA0"/>
    <w:rsid w:val="005919B7"/>
    <w:rsid w:val="005B0475"/>
    <w:rsid w:val="005E1BAF"/>
    <w:rsid w:val="0060192F"/>
    <w:rsid w:val="00620583"/>
    <w:rsid w:val="00635387"/>
    <w:rsid w:val="0064585D"/>
    <w:rsid w:val="0066380D"/>
    <w:rsid w:val="006738EC"/>
    <w:rsid w:val="00674CA8"/>
    <w:rsid w:val="00677132"/>
    <w:rsid w:val="00677A8E"/>
    <w:rsid w:val="006A0DA1"/>
    <w:rsid w:val="006B72A3"/>
    <w:rsid w:val="006C2BE4"/>
    <w:rsid w:val="006C759B"/>
    <w:rsid w:val="007243F6"/>
    <w:rsid w:val="00736804"/>
    <w:rsid w:val="00762CFF"/>
    <w:rsid w:val="00784D54"/>
    <w:rsid w:val="00793F45"/>
    <w:rsid w:val="007D1687"/>
    <w:rsid w:val="0082549D"/>
    <w:rsid w:val="00827963"/>
    <w:rsid w:val="00831F44"/>
    <w:rsid w:val="00841D50"/>
    <w:rsid w:val="00861BA1"/>
    <w:rsid w:val="008832F2"/>
    <w:rsid w:val="00893536"/>
    <w:rsid w:val="00896E2E"/>
    <w:rsid w:val="008A2ED5"/>
    <w:rsid w:val="008A6807"/>
    <w:rsid w:val="008B65F9"/>
    <w:rsid w:val="008D16C7"/>
    <w:rsid w:val="008E14BC"/>
    <w:rsid w:val="008E42E5"/>
    <w:rsid w:val="008F3D14"/>
    <w:rsid w:val="008F5F98"/>
    <w:rsid w:val="00900733"/>
    <w:rsid w:val="00901BB6"/>
    <w:rsid w:val="00947A63"/>
    <w:rsid w:val="009718B0"/>
    <w:rsid w:val="00986A6F"/>
    <w:rsid w:val="009A5729"/>
    <w:rsid w:val="009C25AE"/>
    <w:rsid w:val="009C2E72"/>
    <w:rsid w:val="009C5C3A"/>
    <w:rsid w:val="00A0340F"/>
    <w:rsid w:val="00A30BDA"/>
    <w:rsid w:val="00A50312"/>
    <w:rsid w:val="00A50D77"/>
    <w:rsid w:val="00AA5BE7"/>
    <w:rsid w:val="00AC7D8F"/>
    <w:rsid w:val="00AD2B3B"/>
    <w:rsid w:val="00AD5FCE"/>
    <w:rsid w:val="00AF22E4"/>
    <w:rsid w:val="00B02435"/>
    <w:rsid w:val="00B138DA"/>
    <w:rsid w:val="00B32695"/>
    <w:rsid w:val="00B33C7B"/>
    <w:rsid w:val="00B41E88"/>
    <w:rsid w:val="00B43C0C"/>
    <w:rsid w:val="00B44BD5"/>
    <w:rsid w:val="00B5635F"/>
    <w:rsid w:val="00B70D10"/>
    <w:rsid w:val="00BC4306"/>
    <w:rsid w:val="00BD4576"/>
    <w:rsid w:val="00BE0533"/>
    <w:rsid w:val="00C12051"/>
    <w:rsid w:val="00C1278B"/>
    <w:rsid w:val="00C15D13"/>
    <w:rsid w:val="00C35174"/>
    <w:rsid w:val="00C416E8"/>
    <w:rsid w:val="00C5763F"/>
    <w:rsid w:val="00C765D7"/>
    <w:rsid w:val="00C806BC"/>
    <w:rsid w:val="00C85540"/>
    <w:rsid w:val="00C868EF"/>
    <w:rsid w:val="00C87C87"/>
    <w:rsid w:val="00C965EF"/>
    <w:rsid w:val="00CE25B4"/>
    <w:rsid w:val="00D01495"/>
    <w:rsid w:val="00D02F13"/>
    <w:rsid w:val="00D136EB"/>
    <w:rsid w:val="00D2221A"/>
    <w:rsid w:val="00D26208"/>
    <w:rsid w:val="00D316D1"/>
    <w:rsid w:val="00D52E98"/>
    <w:rsid w:val="00D94FE0"/>
    <w:rsid w:val="00D97879"/>
    <w:rsid w:val="00DA4848"/>
    <w:rsid w:val="00DB23B3"/>
    <w:rsid w:val="00DC2386"/>
    <w:rsid w:val="00DC4752"/>
    <w:rsid w:val="00DD04D2"/>
    <w:rsid w:val="00DD27D6"/>
    <w:rsid w:val="00DD7DC4"/>
    <w:rsid w:val="00DE5242"/>
    <w:rsid w:val="00DF6250"/>
    <w:rsid w:val="00E1455F"/>
    <w:rsid w:val="00E23B2A"/>
    <w:rsid w:val="00E46304"/>
    <w:rsid w:val="00E52D5A"/>
    <w:rsid w:val="00E652FB"/>
    <w:rsid w:val="00E673B3"/>
    <w:rsid w:val="00E7377E"/>
    <w:rsid w:val="00E94E1A"/>
    <w:rsid w:val="00EA4CC4"/>
    <w:rsid w:val="00EB4BD9"/>
    <w:rsid w:val="00EB6A82"/>
    <w:rsid w:val="00EC27B3"/>
    <w:rsid w:val="00ED1E49"/>
    <w:rsid w:val="00EF0E74"/>
    <w:rsid w:val="00F269B0"/>
    <w:rsid w:val="00F41868"/>
    <w:rsid w:val="00F671AA"/>
    <w:rsid w:val="00F95EEA"/>
    <w:rsid w:val="00F97380"/>
    <w:rsid w:val="00F97CD8"/>
    <w:rsid w:val="00FC4895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6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2018-07-27T16:55:00Z</dcterms:created>
  <dcterms:modified xsi:type="dcterms:W3CDTF">2018-07-27T17:00:00Z</dcterms:modified>
</cp:coreProperties>
</file>