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570" w:line="510" w:lineRule="atLeast"/>
        <w:rPr>
          <w:rFonts w:hint="default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中央财经大学法学院2021年本科生国家励志奖学金评审细则</w:t>
      </w:r>
      <w:bookmarkStart w:id="0" w:name="_GoBack"/>
      <w:bookmarkEnd w:id="0"/>
    </w:p>
    <w:p>
      <w:pPr>
        <w:pStyle w:val="3"/>
        <w:widowControl/>
        <w:spacing w:before="540" w:line="390" w:lineRule="atLeast"/>
      </w:pPr>
      <w:r>
        <w:rPr>
          <w:rFonts w:hint="eastAsia" w:ascii="微软雅黑" w:hAnsi="微软雅黑" w:eastAsia="微软雅黑" w:cs="微软雅黑"/>
        </w:rPr>
        <w:t>为了进一步做好我院国家励志奖学金的申请和评审工作，保证国家励志奖学金评审质量，根据《中央财经大学本科生国家励志奖学金评审办法（修订）》（校发〔2020〕89号）的精神，结合我院实际情况，特制定本细则。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一、奖励对象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我院在读的全日制本科二年级（含）以上学生并且在本学年通过学校认定的家庭经济困难学生。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二、评选名额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我院2021年国家励志奖学金评选名额22名。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二、奖励标准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国家励志奖学金每人每年5000元。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三、申报条件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具备以下所有条件的，可以申请：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（一）热爱社会主义祖国，拥护中国共产党的领导；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（二）遵守国家法律和校规校纪，诚实守信；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（三）上一学年必修课、限选课和任选课所有考试无不通过课程；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（四）上一学年学分加权平均分达到80分（含）以上，且素质评价总成绩居于班级排名50%（含）以内；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（五）家庭经济困难，生活俭朴。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四、评审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（一）学院负责国家励志奖学金的初评。根据校发工作要求，学院成立国家励志奖学金评审小组，全面负责学院国家励志奖学金评审的各项工作。评审小组成员如下：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组长：徐颖（分管学生工作的学院领导）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副组长：李伟（主管本科教学工作的学院领导）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成员：周游（法学18-1班主任）、武腾（法学18-2班主任）、白斌（法学18-3班主任）、于洪伟（应用型、复合型19-1班主任）、简爱（应用型、复合型19-2班主任）、殷秋实（涉外19班主任）、徐建刚（应用型、复合型20-1班主任）、王道发（应用型、复合型20-2班主任）、张金平（涉外20班主任）、曹灿（本科教务秘书）、康馨元（辅导员）、张明华（辅导员）、崔巍（学生代表）、岳憬怡（学生代表）。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注：若评审小组成员中的学生代表申报此奖项，该学生代表本人应当回避。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（二）学院评审工作小组坚持公开、公平、公正、择优的原则进行评审。同一学年内，国家奖学金和国家励志奖学金可以同时申请，但不能同时获得；获得国家励志奖学金的家庭经济困难学生可以同时获得国家助学金。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（三）成绩和素质评价的班级排名比例都取整，不能使用四舍五入；</w:t>
      </w:r>
    </w:p>
    <w:p>
      <w:pPr>
        <w:pStyle w:val="3"/>
        <w:widowControl/>
        <w:spacing w:before="540" w:line="390" w:lineRule="atLeast"/>
        <w:ind w:firstLine="420"/>
        <w:jc w:val="both"/>
        <w:rPr>
          <w:rFonts w:ascii="微软雅黑" w:hAnsi="微软雅黑" w:eastAsia="微软雅黑" w:cs="微软雅黑"/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（四）所有奖项仅限在2020-2021学年（即：2020年9月7日至2021年7月25日）期间获得的，并且应当附获奖证书等材料的复印件或证明；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（五）2020-2021学年第二学期转专业的学生在原学院申请、评审；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（六）学院接到相关工作文件后，在学院网站发布评选公告。凡符合条件的学生皆可申报。教学秘书和辅导员负责资格审查，学院评审小组召开会议进行统一评审。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（七）评审小组确定初审名单后报送学校助学服务中心，由助学服务中心在全校范围内进行终审和公示。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五、发放、管理与监督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（一）学校助学服务中心将终审名单递交教育部，经教育部批复后，学校助学服务中心将国家励志奖学金一次性发放给获奖学生，颁发获奖证书，并将获奖证明放入学生本人档案。</w:t>
      </w:r>
    </w:p>
    <w:p>
      <w:pPr>
        <w:pStyle w:val="3"/>
        <w:widowControl/>
        <w:spacing w:before="540" w:line="390" w:lineRule="atLeast"/>
        <w:ind w:firstLine="420"/>
        <w:jc w:val="both"/>
        <w:rPr>
          <w:color w:val="282828"/>
        </w:rPr>
      </w:pPr>
      <w:r>
        <w:rPr>
          <w:rFonts w:hint="eastAsia" w:ascii="微软雅黑" w:hAnsi="微软雅黑" w:eastAsia="微软雅黑" w:cs="微软雅黑"/>
          <w:color w:val="282828"/>
        </w:rPr>
        <w:t>（二）获得国家励志奖学金的学生要在学习生活中起到榜样示范作用，积极参加学校和学院组织的各项活动，对身边的同学和低年级的同学发挥“帮扶带”的作用。</w:t>
      </w:r>
    </w:p>
    <w:p>
      <w:pPr>
        <w:rPr>
          <w:rFonts w:ascii="微软雅黑" w:hAnsi="微软雅黑" w:eastAsia="微软雅黑" w:cs="微软雅黑"/>
          <w:color w:val="282828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282828"/>
          <w:kern w:val="0"/>
          <w:sz w:val="24"/>
        </w:rPr>
        <w:t>六、本细则的解释权在中央财经大学法学院学生工作办公室。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E1DC6"/>
    <w:rsid w:val="000A18B0"/>
    <w:rsid w:val="001A1834"/>
    <w:rsid w:val="00201E51"/>
    <w:rsid w:val="003A05DC"/>
    <w:rsid w:val="00583168"/>
    <w:rsid w:val="00A24EB4"/>
    <w:rsid w:val="00AF19A2"/>
    <w:rsid w:val="00D74B64"/>
    <w:rsid w:val="00E009DD"/>
    <w:rsid w:val="260E1DC6"/>
    <w:rsid w:val="4F35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1105</Characters>
  <Lines>9</Lines>
  <Paragraphs>2</Paragraphs>
  <TotalTime>2</TotalTime>
  <ScaleCrop>false</ScaleCrop>
  <LinksUpToDate>false</LinksUpToDate>
  <CharactersWithSpaces>1296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2021-10-02T01:54:00Z</dcterms:created>
  <dc:creator>RUIJIA ZHANG;康馨;康馨元</dc:creator>
  <cp:lastModifiedBy>北岛</cp:lastModifiedBy>
  <dcterms:modified xsi:type="dcterms:W3CDTF">2021-10-02T02:27:17Z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B9965FB426094DE9945A7D71CB861288</vt:lpwstr>
  </property>
</Properties>
</file>